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睿食拓支付宝团购核销配置</w:t>
      </w:r>
    </w:p>
    <w:p>
      <w:pPr/>
      <w:r>
        <w:rPr>
          <w:b w:val="1"/>
        </w:rPr>
        <w:t xml:space="preserve">商户按照下面的步骤配置支付宝团购核销。 </w:t>
      </w:r>
    </w:p>
    <w:tbl>
      <w:tblPr>
        <w:tblStyle w:val="tableHeader"/>
        <w:tblW w:w="5000" w:type="pct"/>
        <w:tblLook w:firstRow="1" w:lastRow="0" w:firstColumn="0" w:lastColumn="0" w:noHBand="0" w:noVBand="0"/>
      </w:tblPr>
      <w:tblGrid>
        <w:gridCol w:w="2889"/>
        <w:gridCol w:w="8330"/>
      </w:tblGrid>
      <w:tr>
        <w:trPr>
          <w:trHeight w:val="0"/>
        </w:trPr>
        <w:tc>
          <w:tcPr>
            <w:tcW w:w="2889" w:type="dxa"/>
            <w:vAlign w:val="top"/>
          </w:tcPr>
          <w:p>
            <w:pPr/>
            <w:r>
              <w:t xml:space="preserve">关键步骤</w:t>
            </w:r>
          </w:p>
        </w:tc>
        <w:tc>
          <w:tcPr>
            <w:tcW w:w="8330" w:type="dxa"/>
            <w:vAlign w:val="top"/>
          </w:tcPr>
          <w:p>
            <w:pPr/>
            <w:r>
              <w:t xml:space="preserve">描述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开通支付宝神券商家端</w:t>
            </w:r>
          </w:p>
        </w:tc>
        <w:tc>
          <w:tcPr>
            <w:tcW w:w="8330" w:type="dxa"/>
            <w:vAlign w:val="top"/>
          </w:tcPr>
          <w:p>
            <w:pPr>
              <w:numPr>
                <w:ilvl w:val="0"/>
                <w:numId w:val="1"/>
              </w:numPr>
            </w:pPr>
            <w:r>
              <w:rPr>
                <w:sz w:val="24"/>
                <w:b w:val="0"/>
              </w:rPr>
              <w:t xml:space="preserve">商户首先要开通支付宝神券商家端，参考支付宝官方操作SOP文档。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sz w:val="24"/>
                <w:b w:val="0"/>
              </w:rPr>
              <w:t xml:space="preserve">完成店铺创建、门店认领、商品创建；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sz w:val="24"/>
                <w:b w:val="0"/>
              </w:rPr>
              <w:t xml:space="preserve">至少一个门店、一个测试商品用支付宝官方“神券工作台”完成扫码核销测试。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商户系统升级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商户需要升级到支持支付宝团购的版本，包括管理系统和收银设备上的系统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商户系统应用授权配置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商户委托授权SaaS的系统调用支付宝团购相关的接口</w:t>
            </w:r>
          </w:p>
        </w:tc>
      </w:tr>
      <w:tr>
        <w:trPr>
          <w:trHeight w:val="975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商户系统门店关联配置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将管理系统中的门店跟支付宝团购门店建立关联关系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商户系统商品管理配置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将管理系统中的商品跟支付宝神券团购商品建立关联关系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收银POS核销流程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收银员选择支付宝团购进行核销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小程序核销流程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用户进入到商户的支付宝小程序，查看并使用团购券的流程</w:t>
            </w:r>
          </w:p>
        </w:tc>
      </w:tr>
      <w:tr>
        <w:trPr>
          <w:trHeight w:val="0"/>
        </w:trPr>
        <w:tc>
          <w:tcPr>
            <w:tcW w:w="2889" w:type="dxa"/>
            <w:vAlign w:val="center"/>
          </w:tcPr>
          <w:p>
            <w:pPr>
              <w:jc w:val="left"/>
            </w:pPr>
            <w:r>
              <w:rPr>
                <w:sz w:val="24"/>
                <w:b w:val="0"/>
              </w:rPr>
              <w:t xml:space="preserve">其它配置</w:t>
            </w:r>
          </w:p>
        </w:tc>
        <w:tc>
          <w:tcPr>
            <w:tcW w:w="8330" w:type="dxa"/>
            <w:vAlign w:val="top"/>
          </w:tcPr>
          <w:p>
            <w:pPr/>
            <w:r>
              <w:rPr>
                <w:sz w:val="24"/>
                <w:b w:val="0"/>
              </w:rPr>
              <w:t xml:space="preserve">上线支付宝团购，管理系统上还有其它配置要补充进来</w:t>
            </w:r>
          </w:p>
        </w:tc>
      </w:tr>
    </w:tbl>
    <w:p>
      <w:bookmarkStart w:id="mnpbgu9hvp46qvjgam" w:name="mnpbgu9hvp46qvjgam"/>
      <w:pPr>
        <w:pStyle w:val="dingding-heading1"/>
        <w:spacing w:line="223.99999999999997"/>
      </w:pPr>
      <w:r>
        <w:rPr>
          <w:sz w:val="42"/>
          <w:b w:val="1"/>
        </w:rPr>
        <w:t xml:space="preserve">一、开通支付宝神券商家端</w:t>
      </w:r>
      <w:bookmarkEnd w:id="mnpbgu9hvp46qvjgam"/>
    </w:p>
    <w:p>
      <w:pPr/>
      <w:r>
        <w:rPr>
          <w:sz w:val="24"/>
        </w:rPr>
        <w:t xml:space="preserve">商户首先要开通支付宝神券商家端，完成店铺创建、门店认领、商品创建。并用至少一个门店、一个测试商品完成用户支付宝官方商家“神券工作台”扫码核销测试。</w:t>
      </w:r>
    </w:p>
    <w:p>
      <w:bookmarkStart w:id="mnpckxvy1m7g8utpaia" w:name="mnpckxvy1m7g8utpaia"/>
      <w:pPr>
        <w:pStyle w:val="dingding-heading2"/>
        <w:spacing w:line="223.99999999999997"/>
      </w:pPr>
      <w:r>
        <w:rPr>
          <w:sz w:val="36"/>
          <w:b w:val="1"/>
        </w:rPr>
        <w:t xml:space="preserve">1，开通神券商家端</w:t>
      </w:r>
      <w:bookmarkEnd w:id="mnpckxvy1m7g8utpaia"/>
    </w:p>
    <w:p>
      <w:pPr/>
      <w:r>
        <w:rPr>
          <w:sz w:val="24"/>
        </w:rPr>
        <w:t xml:space="preserve">参考下面的“支付宝神券商家端操作SOP”。</w:t>
      </w:r>
    </w:p>
    <w:p>
      <w:hyperlink r:id="rId4">
        <w:r>
          <w:rPr>
            <w:rStyle w:val="hyperlink"/>
          </w:rPr>
          <w:t xml:space="preserve">https://www.yuque.com/taiwentouhaozhanyibisheng/kb/gds3g2t10oril8v9?singleDoc#qhNG1: https://www.yuque.com/taiwentouhaozhanyibisheng/kb/gds3g2t10oril8v9?singleDoc#qhNG1</w:t>
        </w:r>
      </w:hyperlink>
      <w:r/>
    </w:p>
    <w:p>
      <w:bookmarkStart w:id="mnpckdvavb62renrzi" w:name="mnpckdvavb62renrzi"/>
      <w:pPr>
        <w:pStyle w:val="dingding-heading2"/>
        <w:spacing w:line="223.99999999999997"/>
      </w:pPr>
      <w:r>
        <w:rPr>
          <w:sz w:val="36"/>
          <w:b w:val="1"/>
        </w:rPr>
        <w:t xml:space="preserve">2，用支付宝“神券工作台”扫码核销测试</w:t>
      </w:r>
      <w:bookmarkEnd w:id="mnpckdvavb62renrzi"/>
    </w:p>
    <w:p>
      <w:pPr>
        <w:ind/>
      </w:pPr>
      <w:r>
        <w:rPr>
          <w:sz w:val="24"/>
        </w:rPr>
        <w:t xml:space="preserve">建议先用支付宝官方手机端“神券工作台”完成扫码核销测试，确保支付宝团购基本链路配置完成。在支付宝中搜索“神券工作台”进行扫码核销。参考下面的文档。</w:t>
      </w:r>
    </w:p>
    <w:p>
      <w:hyperlink r:id="rId5">
        <w:r>
          <w:rPr>
            <w:rStyle w:val="hyperlink"/>
          </w:rPr>
          <w:t xml:space="preserve">https://www.yuque.com/taiwentouhaozhanyibisheng/kb/gds3g2t10oril8v9?singleDoc#nIoYZ: https://www.yuque.com/taiwentouhaozhanyibisheng/kb/gds3g2t10oril8v9?singleDoc#nIoYZ</w:t>
        </w:r>
      </w:hyperlink>
      <w:r/>
    </w:p>
    <w:p>
      <w:bookmarkStart w:id="mnpc31rgtmfpx07ian" w:name="mnpc31rgtmfpx07ian"/>
      <w:pPr>
        <w:pStyle w:val="dingding-heading1"/>
        <w:spacing w:line="223.99999999999997"/>
      </w:pPr>
      <w:r>
        <w:rPr>
          <w:sz w:val="42"/>
          <w:b w:val="1"/>
        </w:rPr>
        <w:t xml:space="preserve">二、商户系统升级</w:t>
      </w:r>
      <w:bookmarkEnd w:id="mnpc31rgtmfpx07ian"/>
    </w:p>
    <w:p>
      <w:bookmarkStart w:id="mnpcqw0r7q2z84la3mv" w:name="mnpcqw0r7q2z84la3mv"/>
      <w:pPr>
        <w:pStyle w:val="dingding-heading2"/>
        <w:spacing w:line="223.99999999999997"/>
      </w:pPr>
      <w:r>
        <w:rPr>
          <w:sz w:val="36"/>
          <w:b w:val="1"/>
        </w:rPr>
        <w:t xml:space="preserve">1，商户系统支持支付宝神券团购的版本名单</w:t>
      </w:r>
      <w:bookmarkEnd w:id="mnpcqw0r7q2z84la3mv"/>
    </w:p>
    <w:p>
      <w:pPr/>
      <w:r>
        <w:t xml:space="preserve">（1）管理后台支持的版本名单</w:t>
      </w:r>
    </w:p>
    <w:p>
      <w:pPr>
        <w:numPr>
          <w:ilvl w:val="0"/>
          <w:numId w:val="2"/>
        </w:numPr>
      </w:pPr>
      <w:r>
        <w:t xml:space="preserve">全部版本</w:t>
      </w:r>
    </w:p>
    <w:p>
      <w:pPr/>
      <w:r>
        <w:t xml:space="preserve">（2）收银POS系统支持的版本名单</w:t>
      </w:r>
    </w:p>
    <w:p>
      <w:pPr>
        <w:numPr>
          <w:ilvl w:val="0"/>
          <w:numId w:val="3"/>
        </w:numPr>
      </w:pPr>
      <w:r>
        <w:t xml:space="preserve">POS版本 v1.1.38.0 及以上版本支持此功能</w:t>
      </w:r>
    </w:p>
    <w:p>
      <w:bookmarkStart w:id="mnpd0lio34ewwj3skqy" w:name="mnpd0lio34ewwj3skqy"/>
      <w:pPr>
        <w:pStyle w:val="dingding-heading2"/>
        <w:spacing w:line="223.99999999999997"/>
      </w:pPr>
      <w:r>
        <w:rPr>
          <w:sz w:val="36"/>
          <w:b w:val="1"/>
        </w:rPr>
        <w:t xml:space="preserve">2，如何商户升级系统</w:t>
      </w:r>
      <w:bookmarkEnd w:id="mnpd0lio34ewwj3skqy"/>
    </w:p>
    <w:p>
      <w:pPr/>
      <w:r>
        <w:t xml:space="preserve">（1）升级管理后台</w:t>
      </w:r>
    </w:p>
    <w:p>
      <w:pPr>
        <w:numPr>
          <w:ilvl w:val="0"/>
          <w:numId w:val="4"/>
        </w:numPr>
      </w:pPr>
      <w:r>
        <w:t xml:space="preserve">无需升级</w:t>
      </w:r>
    </w:p>
    <w:p>
      <w:pPr/>
      <w:r>
        <w:t xml:space="preserve">（2）升级收银POS</w:t>
      </w:r>
    </w:p>
    <w:p>
      <w:pPr>
        <w:numPr>
          <w:ilvl w:val="0"/>
          <w:numId w:val="5"/>
        </w:numPr>
      </w:pPr>
      <w:r>
        <w:t xml:space="preserve">联系实施</w:t>
      </w:r>
    </w:p>
    <w:p>
      <w:bookmarkStart w:id="mnpcikr4cztsgpkl1ys" w:name="mnpcikr4cztsgpkl1ys"/>
      <w:pPr>
        <w:pStyle w:val="dingding-heading1"/>
        <w:spacing w:line="223.99999999999997"/>
      </w:pPr>
      <w:r>
        <w:rPr>
          <w:sz w:val="42"/>
          <w:b w:val="1"/>
        </w:rPr>
        <w:t xml:space="preserve">三、商户系统应用授权配置</w:t>
      </w:r>
      <w:bookmarkEnd w:id="mnpcikr4cztsgpkl1ys"/>
    </w:p>
    <w:p>
      <w:bookmarkStart w:id="mnpd2r5z6yo34jlqfa" w:name="mnpd2r5z6yo34jlqfa"/>
      <w:pPr>
        <w:pStyle w:val="dingding-heading2"/>
        <w:spacing w:line="223.99999999999997"/>
      </w:pPr>
      <w:r>
        <w:rPr>
          <w:sz w:val="36"/>
          <w:b w:val="1"/>
        </w:rPr>
        <w:t xml:space="preserve">1，进入应用授权页面</w:t>
      </w:r>
      <w:bookmarkEnd w:id="mnpd2r5z6yo34jlqfa"/>
    </w:p>
    <w:p>
      <w:pPr>
        <w:numPr>
          <w:ilvl w:val="0"/>
          <w:numId w:val="6"/>
        </w:numPr>
      </w:pPr>
      <w:r>
        <w:t xml:space="preserve">SaaS待补充，用户在商户系统中进入到配置授权信息的步骤和截图；</w:t>
      </w:r>
    </w:p>
    <w:p>
      <w:bookmarkStart w:id="mnpde8muarmk5w11b47" w:name="mnpde8muarmk5w11b47"/>
      <w:pPr>
        <w:pStyle w:val="dingding-heading2"/>
        <w:ind/>
        <w:spacing w:line="223.99999999999997"/>
      </w:pPr>
      <w:r>
        <w:rPr>
          <w:sz w:val="36"/>
          <w:b w:val="1"/>
        </w:rPr>
        <w:t xml:space="preserve">2，开始应用授权</w:t>
      </w:r>
      <w:bookmarkEnd w:id="mnpde8muarmk5w11b47"/>
    </w:p>
    <w:p>
      <w:pPr>
        <w:ind/>
      </w:pPr>
      <w:r>
        <w:t xml:space="preserve">（1）点击授权链接进入商户支付宝开放平台（open.alipay.com），授权的账号必须跟开通神券团购的账号保持一致。</w:t>
      </w:r>
    </w:p>
    <w:p>
      <w:pPr>
        <w:ind/>
      </w:pPr>
      <w:r/>
      <w:r>
        <w:drawing>
          <wp:inline distT="0" distB="0" distL="0" distR="0">
            <wp:extent cx="7105650" cy="2970162"/>
            <wp:effectExtent b="0" l="0" r="0" t="0"/>
            <wp:docPr id="1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7105650" cy="29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t xml:space="preserve">（2）先选择“全权委托开发授权”，然后选择“店铺应用”进行授权</w:t>
      </w:r>
    </w:p>
    <w:p>
      <w:pPr>
        <w:ind/>
      </w:pPr>
      <w:r/>
      <w:r>
        <w:drawing>
          <wp:inline distT="0" distB="0" distL="0" distR="0">
            <wp:extent cx="6867525" cy="3190875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68675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/>
      <w:r>
        <w:drawing>
          <wp:inline distT="0" distB="0" distL="0" distR="0">
            <wp:extent cx="7105650" cy="3500717"/>
            <wp:effectExtent b="0" l="0" r="0" t="0"/>
            <wp:docPr id="3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7105650" cy="35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rPr>
          <w:color w:val="000000"/>
        </w:rPr>
        <w:t xml:space="preserve">（3）在前面步骤都执行完成后，确认“接口调用权限”项下有“神券商品交易”产品，最后点击“确认处理待办”按钮进行授权</w:t>
      </w:r>
    </w:p>
    <w:p>
      <w:pPr>
        <w:ind/>
        <w:jc w:val="left"/>
      </w:pPr>
      <w:r/>
      <w:r>
        <w:drawing>
          <wp:inline distT="0" distB="0" distL="0" distR="0">
            <wp:extent cx="7105650" cy="2022742"/>
            <wp:effectExtent b="0" l="0" r="0" t="0"/>
            <wp:docPr id="4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7105650" cy="20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bookmarkStart w:id="mnpe1bpypbdinrjdap" w:name="mnpe1bpypbdinrjdap"/>
      <w:pPr>
        <w:pStyle w:val="dingding-heading2"/>
        <w:spacing w:line="223.99999999999997"/>
      </w:pPr>
      <w:r>
        <w:rPr>
          <w:sz w:val="36"/>
          <w:b w:val="1"/>
        </w:rPr>
        <w:t xml:space="preserve">3，获取神券店铺ID</w:t>
      </w:r>
      <w:bookmarkEnd w:id="mnpe1bpypbdinrjdap"/>
    </w:p>
    <w:p>
      <w:pPr/>
      <w:r>
        <w:t xml:space="preserve">SaaS系统中如果集成了神券店铺管理相关的功能，则需要在系统中配置神券店铺ID用于接口调用。</w:t>
      </w:r>
    </w:p>
    <w:p>
      <w:pPr/>
      <w:r>
        <w:rPr>
          <w:sz w:val="23"/>
          <w:color w:val="000000"/>
        </w:rPr>
        <w:t xml:space="preserve">（</w:t>
      </w:r>
      <w:r>
        <w:t xml:space="preserve">1</w:t>
      </w:r>
      <w:r>
        <w:rPr>
          <w:sz w:val="23"/>
          <w:color w:val="000000"/>
        </w:rPr>
        <w:t xml:space="preserve">）使用神券商家账号登入到</w:t>
      </w:r>
      <w:r>
        <w:t xml:space="preserve">商户支付宝开放平台（open.alipay.com)，登录的的账号必须跟开通神券团购的账号保持一致。</w:t>
      </w:r>
    </w:p>
    <w:p>
      <w:pPr/>
      <w:r/>
      <w:r>
        <w:drawing>
          <wp:inline distT="0" distB="0" distL="0" distR="0">
            <wp:extent cx="7105650" cy="2970162"/>
            <wp:effectExtent b="0" l="0" r="0" t="0"/>
            <wp:docPr id="5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alphaModFix amt="100000"/>
                    </a:blip>
                    <a:stretch/>
                  </pic:blipFill>
                  <pic:spPr>
                    <a:xfrm rot="0">
                      <a:off x="0" y="0"/>
                      <a:ext cx="7105650" cy="29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  <w:spacing/>
        <w:jc w:val="left"/>
      </w:pPr>
      <w:r>
        <w:rPr>
          <w:sz w:val="23"/>
          <w:color w:val="000000"/>
        </w:rPr>
        <w:t xml:space="preserve">（2）进入“控制台”-&gt;“店铺应用”，点击店铺应用的详情</w:t>
      </w:r>
    </w:p>
    <w:p>
      <w:pPr/>
      <w:r/>
      <w:r>
        <w:drawing>
          <wp:inline distT="0" distB="0" distL="0" distR="0">
            <wp:extent cx="7105650" cy="3770732"/>
            <wp:effectExtent b="0" l="0" r="0" t="0"/>
            <wp:docPr id="6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100000"/>
                    </a:blip>
                    <a:stretch/>
                  </pic:blipFill>
                  <pic:spPr>
                    <a:xfrm rot="0">
                      <a:off x="0" y="0"/>
                      <a:ext cx="7105650" cy="37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  <w:spacing/>
        <w:jc w:val="left"/>
      </w:pPr>
      <w:r>
        <w:rPr>
          <w:sz w:val="23"/>
          <w:color w:val="000000"/>
        </w:rPr>
        <w:t xml:space="preserve">（3）进入“应用详情”-&gt;“关联店铺ID”，拷贝关联店铺ID出的的数字填入到系统配置中</w:t>
      </w:r>
    </w:p>
    <w:p>
      <w:pPr/>
      <w:r/>
      <w:r>
        <w:drawing>
          <wp:inline distT="0" distB="0" distL="0" distR="0">
            <wp:extent cx="7105650" cy="3808628"/>
            <wp:effectExtent b="0" l="0" r="0" t="0"/>
            <wp:docPr id="7" nam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 amt="100000"/>
                    </a:blip>
                    <a:stretch/>
                  </pic:blipFill>
                  <pic:spPr>
                    <a:xfrm rot="0">
                      <a:off x="0" y="0"/>
                      <a:ext cx="7105650" cy="38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bookmarkStart w:id="mnpe3idn3pecvak8m3s" w:name="mnpe3idn3pecvak8m3s"/>
      <w:pPr>
        <w:pStyle w:val="dingding-heading1"/>
        <w:spacing w:line="223.99999999999997"/>
      </w:pPr>
      <w:r>
        <w:rPr>
          <w:sz w:val="42"/>
          <w:b w:val="1"/>
        </w:rPr>
        <w:t xml:space="preserve">四、商户系统门店关联配置</w:t>
      </w:r>
      <w:bookmarkEnd w:id="mnpe3idn3pecvak8m3s"/>
    </w:p>
    <w:p>
      <w:bookmarkStart w:id="mnpdeudhgv9zyvggrcf" w:name="mnpdeudhgv9zyvggrcf"/>
      <w:pPr>
        <w:pStyle w:val="dingding-heading2"/>
        <w:spacing w:line="223.99999999999997"/>
      </w:pPr>
      <w:r>
        <w:rPr>
          <w:sz w:val="36"/>
          <w:b w:val="1"/>
        </w:rPr>
        <w:t xml:space="preserve">1，商户授权</w:t>
      </w:r>
      <w:bookmarkEnd w:id="mnpdeudhgv9zyvggrcf"/>
    </w:p>
    <w:p>
      <w:pPr>
        <w:numPr>
          <w:ilvl w:val="0"/>
          <w:numId w:val="7"/>
        </w:numPr>
      </w:pPr>
      <w:r>
        <w:t xml:space="preserve">用户在商户后台进入到配置门店ID的步骤和截图；</w:t>
      </w:r>
    </w:p>
    <w:p>
      <w:pPr>
        <w:ind/>
      </w:pPr>
      <w:r/>
      <w:r>
        <w:drawing>
          <wp:inline distT="0" distB="0" distL="0" distR="0">
            <wp:extent cx="7124700" cy="3829905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0">
                      <a:off x="0" y="0"/>
                      <a:ext cx="7124700" cy="38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登录睿食拓商户后台（</w:t>
      </w:r>
      <w:hyperlink r:id="rId14">
        <w:r>
          <w:rPr>
            <w:rStyle w:val="hyperlink"/>
          </w:rPr>
          <w:t xml:space="preserve">https://bo.restosuite.cn/login</w:t>
        </w:r>
      </w:hyperlink>
      <w:r>
        <w:t xml:space="preserve">），进入“营运中心”-&gt;“外卖及配送”-&gt;“商户授权”</w:t>
      </w:r>
    </w:p>
    <w:p>
      <w:bookmarkStart w:id="mnpem0am4oevxcqhrfm" w:name="mnpem0am4oevxcqhrfm"/>
      <w:pPr>
        <w:pStyle w:val="dingding-heading2"/>
        <w:ind/>
        <w:spacing w:line="223.99999999999997"/>
      </w:pPr>
      <w:r>
        <w:rPr>
          <w:sz w:val="36"/>
          <w:b w:val="1"/>
        </w:rPr>
        <w:t xml:space="preserve">2，门店绑定</w:t>
      </w:r>
      <w:bookmarkEnd w:id="mnpem0am4oevxcqhrfm"/>
    </w:p>
    <w:p>
      <w:pPr>
        <w:ind/>
      </w:pPr>
      <w:r/>
      <w:r>
        <w:drawing>
          <wp:inline distT="0" distB="0" distL="0" distR="0">
            <wp:extent cx="7124700" cy="3739372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0">
                      <a:off x="0" y="0"/>
                      <a:ext cx="7124700" cy="37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bookmarkStart w:id="mnpexe7iejt0f7mngku" w:name="mnpexe7iejt0f7mngku"/>
      <w:pPr>
        <w:pStyle w:val="dingding-heading1"/>
        <w:spacing w:line="223.99999999999997"/>
      </w:pPr>
      <w:r>
        <w:rPr>
          <w:sz w:val="42"/>
          <w:b w:val="1"/>
        </w:rPr>
        <w:t xml:space="preserve">五、商户系统商品管理配置</w:t>
      </w:r>
      <w:bookmarkEnd w:id="mnpexe7iejt0f7mngku"/>
    </w:p>
    <w:p>
      <w:bookmarkStart w:id="mnemymed1k2pyhm17gc" w:name="mnemymed1k2pyhm17gc"/>
      <w:pPr>
        <w:pStyle w:val="dingding-heading2"/>
        <w:spacing w:line="223.99999999999997"/>
      </w:pPr>
      <w:r>
        <w:rPr>
          <w:sz w:val="36"/>
          <w:b w:val="1"/>
        </w:rPr>
        <w:t xml:space="preserve">1，进入到商品管理页面</w:t>
      </w:r>
      <w:bookmarkEnd w:id="mnemymed1k2pyhm17gc"/>
    </w:p>
    <w:p>
      <w:pPr/>
      <w:r>
        <w:t xml:space="preserve">（1）已有商品，获取商品ID</w:t>
      </w:r>
    </w:p>
    <w:p>
      <w:pPr>
        <w:ind/>
      </w:pPr>
      <w:r/>
      <w:r>
        <w:drawing>
          <wp:inline distT="0" distB="0" distL="0" distR="0">
            <wp:extent cx="7124700" cy="3779431"/>
            <wp:effectExtent b="0" l="0" r="0" t="0"/>
            <wp:docPr id="1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0">
                      <a:off x="0" y="0"/>
                      <a:ext cx="7124700" cy="377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2219618"/>
            <wp:effectExtent b="0" l="0" r="0" t="0"/>
            <wp:docPr id="1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0">
                      <a:off x="0" y="0"/>
                      <a:ext cx="7124700" cy="22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rPr>
          <w:color w:val="000000"/>
        </w:rPr>
        <w:t xml:space="preserve">营运中心 → 商品管理 → 菜品编码/规格编码</w:t>
      </w:r>
    </w:p>
    <w:p>
      <w:pPr/>
      <w:r>
        <w:t xml:space="preserve">（2）新商品</w:t>
      </w:r>
    </w:p>
    <w:p>
      <w:pPr/>
      <w:r/>
      <w:r>
        <w:drawing>
          <wp:inline distT="0" distB="0" distL="0" distR="0">
            <wp:extent cx="7124700" cy="3905366"/>
            <wp:effectExtent b="0" l="0" r="0" t="0"/>
            <wp:docPr id="1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0">
                      <a:off x="0" y="0"/>
                      <a:ext cx="7124700" cy="39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rPr>
          <w:color w:val="000000"/>
        </w:rPr>
        <w:t xml:space="preserve">营运中心 → 商品管理 → 添加商品</w:t>
      </w:r>
    </w:p>
    <w:p>
      <w:bookmarkStart w:id="mnpf8v8tbwne1xolm5h" w:name="mnpf8v8tbwne1xolm5h"/>
      <w:pPr>
        <w:pStyle w:val="dingding-heading2"/>
        <w:spacing w:line="223.99999999999997"/>
      </w:pPr>
      <w:r>
        <w:rPr>
          <w:sz w:val="36"/>
          <w:b w:val="1"/>
        </w:rPr>
        <w:t xml:space="preserve">2，去神券工作台管理商品</w:t>
      </w:r>
      <w:bookmarkEnd w:id="mnpf8v8tbwne1xolm5h"/>
    </w:p>
    <w:p>
      <w:pPr/>
      <w:r>
        <w:t xml:space="preserve">（1）登录商家B站（b.alipay.com），进入“工作台”-&gt;“神券工作台”-&gt;“商品管理”</w:t>
      </w:r>
    </w:p>
    <w:p>
      <w:pPr/>
      <w:r/>
      <w:r>
        <w:drawing>
          <wp:inline distT="0" distB="0" distL="0" distR="0">
            <wp:extent cx="7124700" cy="3842588"/>
            <wp:effectExtent b="0" l="0" r="0" t="0"/>
            <wp:docPr id="1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0">
                      <a:off x="0" y="0"/>
                      <a:ext cx="7124700" cy="38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（2）填写商家侧编码，商户在商家系统中的编码</w:t>
      </w:r>
    </w:p>
    <w:p>
      <w:pPr/>
      <w:r/>
      <w:r>
        <w:drawing>
          <wp:inline distT="0" distB="0" distL="0" distR="0">
            <wp:extent cx="7124700" cy="3994582"/>
            <wp:effectExtent b="0" l="0" r="0" t="0"/>
            <wp:docPr id="1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 rot="0">
                      <a:off x="0" y="0"/>
                      <a:ext cx="7124700" cy="39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（3）填写小程序跳转链接（可选）</w:t>
      </w:r>
    </w:p>
    <w:p>
      <w:pPr/>
      <w:r>
        <w:t xml:space="preserve">如果商户有小程序且支持在商户小程序内核销团购券，需要勾选「小程序内使用」，填写小程序跳转链接。</w:t>
      </w:r>
    </w:p>
    <w:p>
      <w:pPr>
        <w:numPr>
          <w:ilvl w:val="0"/>
          <w:numId w:val="8"/>
        </w:numPr>
      </w:pPr>
      <w:r>
        <w:t xml:space="preserve">提供小程序跳转链接模版：将小程序APPID处空出来，在获取到小程序APPID后填入</w:t>
      </w:r>
    </w:p>
    <w:p>
      <w:pPr/>
      <w:r/>
      <w:r>
        <w:drawing>
          <wp:inline distT="0" distB="0" distL="0" distR="0">
            <wp:extent cx="7124700" cy="4001407"/>
            <wp:effectExtent b="0" l="0" r="0" t="0"/>
            <wp:docPr id="1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/>
                  </pic:blipFill>
                  <pic:spPr>
                    <a:xfrm rot="0">
                      <a:off x="0" y="0"/>
                      <a:ext cx="7124700" cy="400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numPr>
          <w:ilvl w:val="0"/>
          <w:numId w:val="9"/>
        </w:numPr>
      </w:pPr>
      <w:r>
        <w:t xml:space="preserve">获取小程序APPID：进入商家开放平台获取商户小程序APPID，登录“商家开放平台”（open.alipay.com）-&gt;“控制台”-&gt;“小程序”，找到商家小程序并拷贝应用ID</w:t>
      </w:r>
    </w:p>
    <w:p>
      <w:pPr>
        <w:ind/>
      </w:pPr>
      <w:r/>
      <w:r>
        <w:drawing>
          <wp:inline distT="0" distB="0" distL="0" distR="0">
            <wp:extent cx="6819900" cy="3387663"/>
            <wp:effectExtent b="0" l="0" r="0" t="0"/>
            <wp:docPr id="1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/>
                  </pic:blipFill>
                  <pic:spPr>
                    <a:xfrm rot="0">
                      <a:off x="0" y="0"/>
                      <a:ext cx="6819900" cy="33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6819900" cy="3387663"/>
            <wp:effectExtent b="0" l="0" r="0" t="0"/>
            <wp:docPr id="1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/>
                  </pic:blipFill>
                  <pic:spPr>
                    <a:xfrm rot="0">
                      <a:off x="0" y="0"/>
                      <a:ext cx="6819900" cy="33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bookmarkStart w:id="mnpcjfjcrc5sl0bh36" w:name="mnpcjfjcrc5sl0bh36"/>
      <w:pPr>
        <w:pStyle w:val="dingding-heading1"/>
        <w:spacing w:line="223.99999999999997"/>
      </w:pPr>
      <w:r>
        <w:rPr>
          <w:sz w:val="42"/>
          <w:b w:val="1"/>
        </w:rPr>
        <w:t xml:space="preserve">六、收银POS核销流程</w:t>
      </w:r>
      <w:bookmarkEnd w:id="mnpcjfjcrc5sl0bh36"/>
    </w:p>
    <w:p>
      <w:pPr>
        <w:ind/>
      </w:pPr>
      <w:r/>
      <w:r>
        <w:drawing>
          <wp:inline distT="0" distB="0" distL="0" distR="0">
            <wp:extent cx="7124700" cy="3890754"/>
            <wp:effectExtent b="0" l="0" r="0" t="0"/>
            <wp:docPr id="1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/>
                  </pic:blipFill>
                  <pic:spPr>
                    <a:xfrm rot="0">
                      <a:off x="0" y="0"/>
                      <a:ext cx="7124700" cy="38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rPr>
          <w:color w:val="000000"/>
        </w:rPr>
      </w:r>
      <w:r>
        <w:drawing>
          <wp:inline distT="0" distB="0" distL="0" distR="0">
            <wp:extent cx="7124700" cy="3857357"/>
            <wp:effectExtent b="0" l="0" r="0" t="0"/>
            <wp:docPr id="1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/>
                  </pic:blipFill>
                  <pic:spPr>
                    <a:xfrm rot="0">
                      <a:off x="0" y="0"/>
                      <a:ext cx="7124700" cy="385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</w:r>
    </w:p>
    <w:p>
      <w:pPr/>
      <w:r/>
    </w:p>
    <w:p>
      <w:pPr/>
      <w:r>
        <w:rPr>
          <w:color w:val="000000"/>
        </w:rPr>
        <w:t xml:space="preserve">选择“三方券”结账类型 → 扫码枪识别券码 → 查询 → 兑换 → 核销成功</w:t>
      </w:r>
    </w:p>
    <w:p>
      <w:bookmarkStart w:id="mnpcjj8xt55zjgc58j" w:name="mnpcjj8xt55zjgc58j"/>
      <w:pPr>
        <w:pStyle w:val="dingding-heading1"/>
        <w:spacing w:line="223.99999999999997"/>
      </w:pPr>
      <w:r>
        <w:rPr>
          <w:sz w:val="42"/>
          <w:b w:val="1"/>
        </w:rPr>
        <w:t xml:space="preserve">七、小程序核销流程</w:t>
      </w:r>
      <w:bookmarkEnd w:id="mnpcjj8xt55zjgc58j"/>
    </w:p>
    <w:p>
      <w:pPr>
        <w:ind/>
      </w:pPr>
      <w:r/>
      <w:r>
        <w:drawing>
          <wp:inline distT="0" distB="0" distL="0" distR="0">
            <wp:extent cx="2238375" cy="4800600"/>
            <wp:effectExtent b="0" l="0" r="0" t="0"/>
            <wp:docPr id="2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 rot="0">
                      <a:off x="0" y="0"/>
                      <a:ext cx="2238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47900" cy="4800600"/>
            <wp:effectExtent b="0" l="0" r="0" t="0"/>
            <wp:docPr id="2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 rot="0">
                      <a:off x="0" y="0"/>
                      <a:ext cx="2247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57425" cy="4800600"/>
            <wp:effectExtent b="0" l="0" r="0" t="0"/>
            <wp:docPr id="2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/>
                  </pic:blipFill>
                  <pic:spPr>
                    <a:xfrm rot="0">
                      <a:off x="0" y="0"/>
                      <a:ext cx="22574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rPr>
          <w:color w:val="000000"/>
        </w:rPr>
        <w:t xml:space="preserve">选择优惠助手 → 输入券码 → 去使用 → 点菜 → 核销成功</w:t>
      </w:r>
    </w:p>
    <w:p>
      <w:bookmarkStart w:id="mnpcjrzoyl6y99upcqj" w:name="mnpcjrzoyl6y99upcqj"/>
      <w:pPr>
        <w:pStyle w:val="dingding-heading1"/>
        <w:spacing w:line="223.99999999999997"/>
      </w:pPr>
      <w:r>
        <w:rPr>
          <w:sz w:val="42"/>
          <w:b w:val="1"/>
        </w:rPr>
        <w:t xml:space="preserve">八、其它配置</w:t>
      </w:r>
      <w:bookmarkEnd w:id="mnpcjrzoyl6y99upcqj"/>
    </w:p>
    <w:p>
      <w:pPr>
        <w:numPr>
          <w:ilvl w:val="0"/>
          <w:numId w:val="10"/>
        </w:numPr>
      </w:pPr>
      <w:r>
        <w:t xml:space="preserve">无</w:t>
      </w:r>
    </w:p>
    <w:sectPr>
      <w:pgSz w:w="13380" w:h="16905"/>
      <w:pgMar w:top="720" w:right="1080" w:bottom="720" w:left="1080" w:header="850.95" w:footer="991.95" w:gutter="0"/>
      <w:type w:val="nextPage"/>
    </w:sectPr>
  </w:body>
</w:document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6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0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3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8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1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9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5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2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4" w15:restartNumberingAfterBreak="0">
    <w:lvl w:ilvl="0">
      <w:start w:val="1"/>
      <w:numFmt w:val="bullet"/>
      <w:lvlText w:val="●"/>
      <w:lvlJc w:val="left"/>
      <w:pPr>
        <w:ind w:left="420" w:hanging="420"/>
      </w:pPr>
      <w:rPr/>
    </w:lvl>
  </w:abstractNum>
  <w:abstractNum w:abstractNumId="7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num w:numId="4">
    <w:abstractNumId w:val="3"/>
  </w:num>
  <w:num w:numId="5">
    <w:abstractNumId w:val="4"/>
  </w:num>
  <w:num w:numId="9">
    <w:abstractNumId w:val="8"/>
  </w:num>
  <w:num w:numId="3">
    <w:abstractNumId w:val="2"/>
  </w:num>
  <w:num w:numId="1">
    <w:abstractNumId w:val="0"/>
  </w:num>
  <w:num w:numId="8">
    <w:abstractNumId w:val="7"/>
  </w:num>
  <w:num w:numId="7">
    <w:abstractNumId w:val="6"/>
  </w:num>
  <w:num w:numId="2">
    <w:abstractNumId w:val="1"/>
  </w:num>
  <w:num w:numId="10">
    <w:abstractNumId w:val="9"/>
  </w:num>
  <w:num w:numId="6">
    <w:abstractNumId w:val="5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0" w:styleId="dingding-heading2">
    <w:name w:val="heading 2"/>
    <w:basedOn w:val="NormalParagraph"/>
    <w:tcPr/>
    <w:pPr>
      <w:keepLines w:val="1"/>
      <w:keepNext w:val="1"/>
      <w:spacing w:before="348" w:after="190" w:lineRule="auto"/>
    </w:pPr>
    <w:rPr>
      <w:sz w:val="28"/>
      <w:b w:val="1"/>
    </w:rPr>
  </w:style>
  <w:style w:type="paragraph" w:default="1" w:styleId="docDefaults">
    <w:name w:val="dingdocnormal"/>
    <w:tcPr/>
    <w:pPr>
      <w:spacing/>
    </w:pPr>
    <w:rPr>
      <w:sz w:val="24"/>
    </w:rPr>
  </w:style>
  <w:style w:type="character" w:default="0" w:styleId="hyperlink">
    <w:name w:val="Hyperlink"/>
    <w:basedOn w:val="NormalCharacter"/>
    <w:tcPr/>
    <w:rPr>
      <w:color w:val="0563C1"/>
      <w:u w:val="single"/>
    </w:rPr>
  </w:style>
  <w:style w:type="table" w:default="0" w:styleId="tableDefault">
    <w:name w:val=""/>
    <w:tblPr>
      <w:tblStyle w:val="TableGrid"/>
      <w:tblBorders>
        <w:left w:val="single" w:sz="6" w:space="0" w:color="D6D6D6"/>
        <w:right w:val="single" w:sz="6" w:space="0" w:color="D6D6D6"/>
        <w:top w:val="single" w:sz="6" w:space="0" w:color="D6D6D6"/>
        <w:bottom w:val="single" w:sz="6" w:space="0" w:color="D6D6D6"/>
        <w:insideH w:val="single" w:sz="6" w:space="0" w:color="D6D6D6"/>
        <w:insideV w:val="single" w:sz="6" w:space="0" w:color="D6D6D6"/>
      </w:tblBorders>
      <w:tblW w:w="0" w:type="auto"/>
    </w:tblPr>
    <w:tcPr/>
  </w:style>
  <w:style w:type="table" w:default="0" w:styleId="tableHeader">
    <w:name w:val=""/>
    <w:basedOn w:val="tableDefault"/>
    <w:tcPr/>
    <w:tblStylePr w:type="firstRow">
      <w:tcPr>
        <w:shd w:val="clear" w:color="" w:fill="F5F6F7"/>
      </w:tcPr>
    </w:tblStylePr>
    <w:tblStylePr w:type="firstCol">
      <w:tcPr>
        <w:shd w:val="clear" w:color="" w:fill="F5F6F7"/>
      </w:tcPr>
    </w:tblStyle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hyperlink" Target="https://www.yuque.com/taiwentouhaozhanyibisheng/kb/gds3g2t10oril8v9?singleDoc#qhNG1" TargetMode="External" />
  <Relationship Id="rId5" Type="http://schemas.openxmlformats.org/officeDocument/2006/relationships/hyperlink" Target="https://www.yuque.com/taiwentouhaozhanyibisheng/kb/gds3g2t10oril8v9?singleDoc#nIoYZ" TargetMode="External" />
  <Relationship Id="rId6" Type="http://schemas.openxmlformats.org/officeDocument/2006/relationships/image" Target="media/image1.png" />
  <Relationship Id="rId7" Type="http://schemas.openxmlformats.org/officeDocument/2006/relationships/image" Target="media/image2.png" />
  <Relationship Id="rId8" Type="http://schemas.openxmlformats.org/officeDocument/2006/relationships/image" Target="media/image3.png" />
  <Relationship Id="rId9" Type="http://schemas.openxmlformats.org/officeDocument/2006/relationships/image" Target="media/image4.png" />
  <Relationship Id="rId10" Type="http://schemas.openxmlformats.org/officeDocument/2006/relationships/image" Target="media/image5.png" />
  <Relationship Id="rId11" Type="http://schemas.openxmlformats.org/officeDocument/2006/relationships/image" Target="media/image6.png" />
  <Relationship Id="rId12" Type="http://schemas.openxmlformats.org/officeDocument/2006/relationships/image" Target="media/image7.png" />
  <Relationship Id="rId13" Type="http://schemas.openxmlformats.org/officeDocument/2006/relationships/image" Target="media/image8.png" />
  <Relationship Id="rId14" Type="http://schemas.openxmlformats.org/officeDocument/2006/relationships/hyperlink" Target="https://bo.restosuite.cn/login" TargetMode="External" />
  <Relationship Id="rId15" Type="http://schemas.openxmlformats.org/officeDocument/2006/relationships/image" Target="media/image9.png" />
  <Relationship Id="rId16" Type="http://schemas.openxmlformats.org/officeDocument/2006/relationships/image" Target="media/image10.png" />
  <Relationship Id="rId17" Type="http://schemas.openxmlformats.org/officeDocument/2006/relationships/image" Target="media/image11.png" />
  <Relationship Id="rId18" Type="http://schemas.openxmlformats.org/officeDocument/2006/relationships/image" Target="media/image12.png" />
  <Relationship Id="rId19" Type="http://schemas.openxmlformats.org/officeDocument/2006/relationships/image" Target="media/image13.png" />
  <Relationship Id="rId20" Type="http://schemas.openxmlformats.org/officeDocument/2006/relationships/image" Target="media/image14.png" />
  <Relationship Id="rId21" Type="http://schemas.openxmlformats.org/officeDocument/2006/relationships/image" Target="media/image15.png" />
  <Relationship Id="rId22" Type="http://schemas.openxmlformats.org/officeDocument/2006/relationships/image" Target="media/image16.png" />
  <Relationship Id="rId23" Type="http://schemas.openxmlformats.org/officeDocument/2006/relationships/image" Target="media/image17.png" />
  <Relationship Id="rId24" Type="http://schemas.openxmlformats.org/officeDocument/2006/relationships/image" Target="media/image18.png" />
  <Relationship Id="rId25" Type="http://schemas.openxmlformats.org/officeDocument/2006/relationships/image" Target="media/image19.png" />
  <Relationship Id="rId26" Type="http://schemas.openxmlformats.org/officeDocument/2006/relationships/image" Target="media/image20.png" />
  <Relationship Id="rId27" Type="http://schemas.openxmlformats.org/officeDocument/2006/relationships/image" Target="media/image21.png" />
  <Relationship Id="rId28" Type="http://schemas.openxmlformats.org/officeDocument/2006/relationships/image" Target="media/image22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